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71D" w:rsidRPr="008B2AFB" w:rsidRDefault="00CC371D" w:rsidP="00CC371D">
      <w:pPr>
        <w:rPr>
          <w:rFonts w:ascii="Verdana" w:hAnsi="Verdana"/>
          <w:sz w:val="20"/>
          <w:szCs w:val="20"/>
        </w:rPr>
      </w:pPr>
    </w:p>
    <w:tbl>
      <w:tblPr>
        <w:tblW w:w="9307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0"/>
        <w:gridCol w:w="1559"/>
        <w:gridCol w:w="851"/>
        <w:gridCol w:w="2268"/>
        <w:gridCol w:w="2219"/>
      </w:tblGrid>
      <w:tr w:rsidR="00CC371D" w:rsidRPr="008B2AFB" w:rsidTr="00CC371D">
        <w:tc>
          <w:tcPr>
            <w:tcW w:w="4820" w:type="dxa"/>
            <w:gridSpan w:val="3"/>
          </w:tcPr>
          <w:p w:rsidR="00CC371D" w:rsidRPr="00DD00FC" w:rsidRDefault="00CC371D" w:rsidP="00E0253F">
            <w:pPr>
              <w:jc w:val="center"/>
              <w:rPr>
                <w:rFonts w:ascii="Book Antiqua" w:hAnsi="Book Antiqua" w:cs="Arial"/>
                <w:b/>
              </w:rPr>
            </w:pPr>
            <w:r w:rsidRPr="00DD00FC">
              <w:rPr>
                <w:rFonts w:ascii="Book Antiqua" w:hAnsi="Book Antiqua" w:cs="Arial"/>
                <w:b/>
              </w:rPr>
              <w:t>ΕΛΛΗΝΙΚΗ ΔΗΜΟΚΡΑΤΙΑ</w:t>
            </w:r>
          </w:p>
        </w:tc>
        <w:tc>
          <w:tcPr>
            <w:tcW w:w="2268" w:type="dxa"/>
          </w:tcPr>
          <w:p w:rsidR="00CC371D" w:rsidRPr="008B2AFB" w:rsidRDefault="00CC371D" w:rsidP="00A5676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19" w:type="dxa"/>
          </w:tcPr>
          <w:p w:rsidR="00CC371D" w:rsidRPr="008B2AFB" w:rsidRDefault="00CC371D" w:rsidP="00A5676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C371D" w:rsidRPr="008B2AFB" w:rsidTr="00CC371D">
        <w:trPr>
          <w:cantSplit/>
          <w:trHeight w:val="274"/>
        </w:trPr>
        <w:tc>
          <w:tcPr>
            <w:tcW w:w="4820" w:type="dxa"/>
            <w:gridSpan w:val="3"/>
          </w:tcPr>
          <w:p w:rsidR="00CC371D" w:rsidRPr="00DD00FC" w:rsidRDefault="00CC371D" w:rsidP="00E0253F">
            <w:pPr>
              <w:jc w:val="center"/>
              <w:rPr>
                <w:rFonts w:ascii="Book Antiqua" w:hAnsi="Book Antiqua" w:cs="Arial"/>
                <w:b/>
              </w:rPr>
            </w:pPr>
            <w:r w:rsidRPr="00DD00FC">
              <w:rPr>
                <w:rFonts w:ascii="Book Antiqua" w:hAnsi="Book Antiqua" w:cs="Arial"/>
                <w:b/>
              </w:rPr>
              <w:t>ΝΟΜΟΣ ΡΟΔΟΠΗΣ</w:t>
            </w:r>
          </w:p>
        </w:tc>
        <w:tc>
          <w:tcPr>
            <w:tcW w:w="2268" w:type="dxa"/>
            <w:vMerge w:val="restart"/>
          </w:tcPr>
          <w:p w:rsidR="00CC371D" w:rsidRPr="008B2AFB" w:rsidRDefault="00CC371D" w:rsidP="00A5676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19" w:type="dxa"/>
            <w:vAlign w:val="center"/>
          </w:tcPr>
          <w:p w:rsidR="00CC371D" w:rsidRPr="008B2AFB" w:rsidRDefault="00CC371D" w:rsidP="00A5676E">
            <w:pPr>
              <w:pStyle w:val="2"/>
              <w:rPr>
                <w:rFonts w:ascii="Verdana" w:hAnsi="Verdana"/>
                <w:sz w:val="20"/>
              </w:rPr>
            </w:pPr>
          </w:p>
        </w:tc>
      </w:tr>
      <w:tr w:rsidR="00CC371D" w:rsidRPr="008B2AFB" w:rsidTr="00CC371D">
        <w:trPr>
          <w:cantSplit/>
          <w:trHeight w:val="320"/>
        </w:trPr>
        <w:tc>
          <w:tcPr>
            <w:tcW w:w="4820" w:type="dxa"/>
            <w:gridSpan w:val="3"/>
          </w:tcPr>
          <w:p w:rsidR="00CC371D" w:rsidRPr="00DD00FC" w:rsidRDefault="00CC371D" w:rsidP="00E0253F">
            <w:pPr>
              <w:jc w:val="center"/>
              <w:rPr>
                <w:rFonts w:ascii="Book Antiqua" w:hAnsi="Book Antiqua" w:cs="Arial"/>
                <w:b/>
              </w:rPr>
            </w:pPr>
            <w:r w:rsidRPr="00DD00FC">
              <w:rPr>
                <w:rFonts w:ascii="Book Antiqua" w:hAnsi="Book Antiqua" w:cs="Arial"/>
                <w:b/>
              </w:rPr>
              <w:t>ΔΗΜΟΣ ΚΟΜΟΤΗΝΗΣ</w:t>
            </w:r>
          </w:p>
        </w:tc>
        <w:tc>
          <w:tcPr>
            <w:tcW w:w="2268" w:type="dxa"/>
            <w:vMerge/>
          </w:tcPr>
          <w:p w:rsidR="00CC371D" w:rsidRPr="008B2AFB" w:rsidRDefault="00CC371D" w:rsidP="00A5676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19" w:type="dxa"/>
          </w:tcPr>
          <w:p w:rsidR="00CC371D" w:rsidRPr="008B2AFB" w:rsidRDefault="00CC371D" w:rsidP="00A5676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C371D" w:rsidRPr="008B2AFB" w:rsidTr="00CC371D">
        <w:tc>
          <w:tcPr>
            <w:tcW w:w="4820" w:type="dxa"/>
            <w:gridSpan w:val="3"/>
          </w:tcPr>
          <w:p w:rsidR="00CC371D" w:rsidRPr="00DD00FC" w:rsidRDefault="00CC371D" w:rsidP="00E0253F">
            <w:pPr>
              <w:jc w:val="center"/>
              <w:rPr>
                <w:rFonts w:ascii="Book Antiqua" w:hAnsi="Book Antiqua" w:cs="Arial"/>
                <w:b/>
              </w:rPr>
            </w:pPr>
            <w:r w:rsidRPr="00DD00FC">
              <w:rPr>
                <w:rFonts w:ascii="Book Antiqua" w:hAnsi="Book Antiqua" w:cs="Arial"/>
                <w:b/>
              </w:rPr>
              <w:t>Δ/ΝΣΗ ΤΕΧΝΙΚΩΝ ΥΠΗΡΕΣΙΩΝ</w:t>
            </w:r>
          </w:p>
        </w:tc>
        <w:tc>
          <w:tcPr>
            <w:tcW w:w="2268" w:type="dxa"/>
          </w:tcPr>
          <w:p w:rsidR="00CC371D" w:rsidRPr="008B2AFB" w:rsidRDefault="00CC371D" w:rsidP="00A5676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19" w:type="dxa"/>
          </w:tcPr>
          <w:p w:rsidR="00CC371D" w:rsidRPr="008B2AFB" w:rsidRDefault="00CC371D" w:rsidP="00A5676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C371D" w:rsidRPr="008B2AFB" w:rsidTr="00CC371D">
        <w:trPr>
          <w:cantSplit/>
          <w:trHeight w:val="390"/>
        </w:trPr>
        <w:tc>
          <w:tcPr>
            <w:tcW w:w="4820" w:type="dxa"/>
            <w:gridSpan w:val="3"/>
            <w:vAlign w:val="center"/>
          </w:tcPr>
          <w:p w:rsidR="00CC371D" w:rsidRPr="008B2AFB" w:rsidRDefault="00CC371D" w:rsidP="00A5676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487" w:type="dxa"/>
            <w:gridSpan w:val="2"/>
            <w:vMerge w:val="restart"/>
            <w:vAlign w:val="center"/>
          </w:tcPr>
          <w:p w:rsidR="00CC371D" w:rsidRPr="008B2AFB" w:rsidRDefault="00CC371D" w:rsidP="00A5676E">
            <w:pPr>
              <w:pStyle w:val="3"/>
              <w:jc w:val="left"/>
              <w:rPr>
                <w:rFonts w:ascii="Verdana" w:hAnsi="Verdana"/>
                <w:sz w:val="20"/>
                <w:lang w:val="el-GR"/>
              </w:rPr>
            </w:pPr>
          </w:p>
          <w:p w:rsidR="00CC371D" w:rsidRPr="00751BC2" w:rsidRDefault="00CC371D" w:rsidP="00A5676E">
            <w:pPr>
              <w:ind w:firstLine="720"/>
              <w:rPr>
                <w:b/>
              </w:rPr>
            </w:pPr>
          </w:p>
          <w:p w:rsidR="00CC371D" w:rsidRPr="008B2AFB" w:rsidRDefault="00E66E61" w:rsidP="00A5676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b/>
              </w:rPr>
              <w:t>«Δομημένης Καλωδίωσης των Τεχνικών και Οικονομικών Υπηρεσιών του Δήμου Κομοτηνής (Προμήθεια, Εργασία και Εγκατάσταση)»</w:t>
            </w:r>
          </w:p>
        </w:tc>
      </w:tr>
      <w:tr w:rsidR="00CC371D" w:rsidRPr="008B2AFB" w:rsidTr="00CC371D">
        <w:trPr>
          <w:cantSplit/>
          <w:trHeight w:val="390"/>
        </w:trPr>
        <w:tc>
          <w:tcPr>
            <w:tcW w:w="4820" w:type="dxa"/>
            <w:gridSpan w:val="3"/>
            <w:vAlign w:val="center"/>
          </w:tcPr>
          <w:p w:rsidR="00CC371D" w:rsidRPr="008B2AFB" w:rsidRDefault="00CC371D" w:rsidP="00A5676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487" w:type="dxa"/>
            <w:gridSpan w:val="2"/>
            <w:vMerge/>
            <w:vAlign w:val="center"/>
          </w:tcPr>
          <w:p w:rsidR="00CC371D" w:rsidRPr="008B2AFB" w:rsidRDefault="00CC371D" w:rsidP="00A5676E">
            <w:pPr>
              <w:pStyle w:val="3"/>
              <w:rPr>
                <w:rFonts w:ascii="Verdana" w:hAnsi="Verdana"/>
                <w:sz w:val="20"/>
                <w:lang w:val="el-GR"/>
              </w:rPr>
            </w:pPr>
          </w:p>
        </w:tc>
      </w:tr>
      <w:tr w:rsidR="00CC371D" w:rsidRPr="008B2AFB" w:rsidTr="00CC371D">
        <w:tblPrEx>
          <w:tblCellMar>
            <w:left w:w="0" w:type="dxa"/>
            <w:right w:w="0" w:type="dxa"/>
          </w:tblCellMar>
        </w:tblPrEx>
        <w:trPr>
          <w:gridAfter w:val="2"/>
          <w:wAfter w:w="4487" w:type="dxa"/>
          <w:cantSplit/>
        </w:trPr>
        <w:tc>
          <w:tcPr>
            <w:tcW w:w="2410" w:type="dxa"/>
          </w:tcPr>
          <w:p w:rsidR="00CC371D" w:rsidRPr="008B2AFB" w:rsidRDefault="00CC371D" w:rsidP="00A5676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C371D" w:rsidRPr="008B2AFB" w:rsidRDefault="00CC371D" w:rsidP="00A5676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:rsidR="00CC371D" w:rsidRPr="008B2AFB" w:rsidRDefault="00CC371D" w:rsidP="00A5676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C371D" w:rsidRPr="008B2AFB" w:rsidTr="00CC371D">
        <w:tblPrEx>
          <w:tblCellMar>
            <w:left w:w="0" w:type="dxa"/>
            <w:right w:w="0" w:type="dxa"/>
          </w:tblCellMar>
        </w:tblPrEx>
        <w:trPr>
          <w:gridAfter w:val="2"/>
          <w:wAfter w:w="4487" w:type="dxa"/>
          <w:cantSplit/>
        </w:trPr>
        <w:tc>
          <w:tcPr>
            <w:tcW w:w="2410" w:type="dxa"/>
          </w:tcPr>
          <w:p w:rsidR="00CC371D" w:rsidRPr="008B2AFB" w:rsidRDefault="00CC371D" w:rsidP="00A5676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371D" w:rsidRPr="008B2AFB" w:rsidRDefault="00CC371D" w:rsidP="00A5676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C371D" w:rsidRPr="008B2AFB" w:rsidRDefault="00CC371D" w:rsidP="00A5676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C371D" w:rsidRPr="008B2AFB" w:rsidTr="00CC371D">
        <w:tblPrEx>
          <w:tblCellMar>
            <w:left w:w="0" w:type="dxa"/>
            <w:right w:w="0" w:type="dxa"/>
          </w:tblCellMar>
        </w:tblPrEx>
        <w:trPr>
          <w:gridAfter w:val="2"/>
          <w:wAfter w:w="4487" w:type="dxa"/>
          <w:cantSplit/>
        </w:trPr>
        <w:tc>
          <w:tcPr>
            <w:tcW w:w="2410" w:type="dxa"/>
          </w:tcPr>
          <w:p w:rsidR="00CC371D" w:rsidRPr="008B2AFB" w:rsidRDefault="00CC371D" w:rsidP="00A5676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371D" w:rsidRPr="008B2AFB" w:rsidRDefault="00CC371D" w:rsidP="00A5676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:rsidR="00CC371D" w:rsidRPr="008B2AFB" w:rsidRDefault="00CC371D" w:rsidP="00A5676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C371D" w:rsidRPr="008B2AFB" w:rsidRDefault="00CC371D" w:rsidP="00CC371D">
      <w:pPr>
        <w:rPr>
          <w:rFonts w:ascii="Verdana" w:hAnsi="Verdana"/>
          <w:sz w:val="20"/>
          <w:szCs w:val="20"/>
        </w:rPr>
      </w:pPr>
    </w:p>
    <w:p w:rsidR="00CC371D" w:rsidRPr="008B2AFB" w:rsidRDefault="00CC371D" w:rsidP="00CC371D">
      <w:pPr>
        <w:jc w:val="both"/>
        <w:rPr>
          <w:rFonts w:ascii="Verdana" w:hAnsi="Verdana"/>
          <w:sz w:val="20"/>
          <w:szCs w:val="20"/>
        </w:rPr>
      </w:pPr>
    </w:p>
    <w:p w:rsidR="00CC371D" w:rsidRPr="008B2AFB" w:rsidRDefault="00CC371D" w:rsidP="00CC371D">
      <w:pPr>
        <w:jc w:val="both"/>
        <w:rPr>
          <w:rFonts w:ascii="Verdana" w:hAnsi="Verdana"/>
          <w:sz w:val="20"/>
          <w:szCs w:val="20"/>
        </w:rPr>
      </w:pPr>
    </w:p>
    <w:p w:rsidR="00CC371D" w:rsidRPr="008B2AFB" w:rsidRDefault="00CC371D" w:rsidP="00CC371D">
      <w:pPr>
        <w:jc w:val="center"/>
        <w:rPr>
          <w:rFonts w:ascii="Verdana" w:hAnsi="Verdana"/>
          <w:b/>
          <w:sz w:val="20"/>
          <w:szCs w:val="20"/>
        </w:rPr>
      </w:pPr>
      <w:r w:rsidRPr="008B2AFB">
        <w:rPr>
          <w:rFonts w:ascii="Verdana" w:hAnsi="Verdana"/>
          <w:b/>
          <w:spacing w:val="62"/>
          <w:sz w:val="20"/>
          <w:szCs w:val="20"/>
          <w:u w:val="single"/>
        </w:rPr>
        <w:t>ΣΥΓΓΡΑΦΗ   ΥΠΟΧΡΕΩΣΕΩΝ</w:t>
      </w:r>
    </w:p>
    <w:p w:rsidR="00CC371D" w:rsidRPr="008B2AFB" w:rsidRDefault="00CC371D" w:rsidP="00CC371D">
      <w:pPr>
        <w:spacing w:line="360" w:lineRule="auto"/>
        <w:rPr>
          <w:rFonts w:ascii="Verdana" w:hAnsi="Verdana"/>
          <w:sz w:val="20"/>
          <w:szCs w:val="20"/>
        </w:rPr>
      </w:pPr>
    </w:p>
    <w:p w:rsidR="00CC371D" w:rsidRPr="00482D47" w:rsidRDefault="00CC371D" w:rsidP="00CC371D">
      <w:pPr>
        <w:tabs>
          <w:tab w:val="left" w:pos="284"/>
        </w:tabs>
        <w:autoSpaceDE w:val="0"/>
        <w:jc w:val="center"/>
        <w:outlineLvl w:val="0"/>
        <w:rPr>
          <w:rFonts w:ascii="Verdana" w:hAnsi="Verdana"/>
          <w:sz w:val="20"/>
          <w:szCs w:val="20"/>
        </w:rPr>
      </w:pPr>
      <w:r w:rsidRPr="00482D47">
        <w:rPr>
          <w:rFonts w:ascii="Verdana" w:hAnsi="Verdana"/>
          <w:b/>
          <w:sz w:val="20"/>
          <w:szCs w:val="20"/>
          <w:u w:val="single"/>
        </w:rPr>
        <w:t>Άρθρο 1</w:t>
      </w:r>
    </w:p>
    <w:p w:rsidR="00CC371D" w:rsidRPr="00E66E61" w:rsidRDefault="00CC371D" w:rsidP="00E66E61">
      <w:pPr>
        <w:ind w:left="360"/>
        <w:jc w:val="both"/>
      </w:pPr>
      <w:r w:rsidRPr="00E66E61">
        <w:t>Αντικείμενο της  προμήθειας «Δομημένης Καλωδίωσης των Τεχνικών και Οικονομικών Υπηρεσιών του Δήμου Κομοτηνής (Προμήθεια, Εργασία και Εγκατάσταση)»</w:t>
      </w:r>
    </w:p>
    <w:p w:rsidR="00CC371D" w:rsidRPr="00E66E61" w:rsidRDefault="00CC371D" w:rsidP="00E66E61">
      <w:pPr>
        <w:ind w:left="360"/>
        <w:jc w:val="both"/>
      </w:pPr>
      <w:r w:rsidRPr="00E66E61">
        <w:t>Άρθρο 2</w:t>
      </w:r>
    </w:p>
    <w:p w:rsidR="00CC371D" w:rsidRPr="00482D47" w:rsidRDefault="00CC371D" w:rsidP="00CC371D">
      <w:pPr>
        <w:tabs>
          <w:tab w:val="left" w:pos="284"/>
        </w:tabs>
        <w:jc w:val="center"/>
        <w:outlineLvl w:val="0"/>
        <w:rPr>
          <w:rFonts w:ascii="Verdana" w:hAnsi="Verdana"/>
          <w:b/>
          <w:sz w:val="20"/>
          <w:szCs w:val="20"/>
        </w:rPr>
      </w:pPr>
      <w:r w:rsidRPr="00482D47">
        <w:rPr>
          <w:rFonts w:ascii="Verdana" w:hAnsi="Verdana"/>
          <w:b/>
          <w:sz w:val="20"/>
          <w:szCs w:val="20"/>
        </w:rPr>
        <w:t>Ισχύουσες διατάξεις.</w:t>
      </w:r>
    </w:p>
    <w:p w:rsidR="00CC371D" w:rsidRPr="00E66E61" w:rsidRDefault="00CC371D" w:rsidP="00E66E61">
      <w:pPr>
        <w:ind w:left="360"/>
        <w:jc w:val="both"/>
      </w:pPr>
      <w:r w:rsidRPr="00E66E61">
        <w:t>Η διενέργεια της προμήθειας διέπεται από τις διατάξεις του Ενιαίου Κανονισμού Προμηθειών Ο.Τ.Α. Υπουργική απόφαση 11389/93 Φ.Ε.Κ. 185/23.3.93 Τ.Β. του εν ισχύ  Δ.Κ.Κ. Ν. 3463/06 περί κυρώσεως Δημοτικού και Κοινοτικού Κώδικα.</w:t>
      </w:r>
    </w:p>
    <w:p w:rsidR="00CC371D" w:rsidRPr="00E66E61" w:rsidRDefault="00CC371D" w:rsidP="00E66E61">
      <w:pPr>
        <w:ind w:left="360"/>
        <w:jc w:val="both"/>
      </w:pPr>
      <w:r w:rsidRPr="00E66E61">
        <w:t xml:space="preserve">Η πίστωση θα επιβαρύνει τον προϋπολογισμό του Δήμου 2013 στον </w:t>
      </w:r>
      <w:proofErr w:type="spellStart"/>
      <w:r w:rsidRPr="00E66E61">
        <w:t>ΚΕξ</w:t>
      </w:r>
      <w:proofErr w:type="spellEnd"/>
      <w:r w:rsidRPr="00E66E61">
        <w:t xml:space="preserve">. </w:t>
      </w:r>
      <w:r>
        <w:t>30.7311.05</w:t>
      </w:r>
      <w:r w:rsidRPr="001A78FF">
        <w:t xml:space="preserve">  </w:t>
      </w:r>
    </w:p>
    <w:p w:rsidR="00CC371D" w:rsidRPr="00482D47" w:rsidRDefault="00CC371D" w:rsidP="00CC371D">
      <w:pPr>
        <w:pStyle w:val="a4"/>
        <w:rPr>
          <w:rFonts w:ascii="Verdana" w:hAnsi="Verdana"/>
          <w:sz w:val="20"/>
        </w:rPr>
      </w:pPr>
    </w:p>
    <w:p w:rsidR="00CC371D" w:rsidRPr="00482D47" w:rsidRDefault="00CC371D" w:rsidP="00CC371D">
      <w:pPr>
        <w:tabs>
          <w:tab w:val="left" w:pos="284"/>
        </w:tabs>
        <w:autoSpaceDE w:val="0"/>
        <w:jc w:val="center"/>
        <w:outlineLvl w:val="0"/>
        <w:rPr>
          <w:rFonts w:ascii="Verdana" w:hAnsi="Verdana"/>
          <w:sz w:val="20"/>
          <w:szCs w:val="20"/>
        </w:rPr>
      </w:pPr>
      <w:r w:rsidRPr="00482D47">
        <w:rPr>
          <w:rFonts w:ascii="Verdana" w:hAnsi="Verdana"/>
          <w:b/>
          <w:sz w:val="20"/>
          <w:szCs w:val="20"/>
          <w:u w:val="single"/>
        </w:rPr>
        <w:t xml:space="preserve">Άρθρο </w:t>
      </w:r>
      <w:r>
        <w:rPr>
          <w:rFonts w:ascii="Verdana" w:hAnsi="Verdana"/>
          <w:b/>
          <w:sz w:val="20"/>
          <w:szCs w:val="20"/>
          <w:u w:val="single"/>
        </w:rPr>
        <w:t>3</w:t>
      </w:r>
    </w:p>
    <w:p w:rsidR="00CC371D" w:rsidRPr="00E66E61" w:rsidRDefault="00CC371D" w:rsidP="00E66E61">
      <w:pPr>
        <w:ind w:left="360"/>
        <w:jc w:val="center"/>
        <w:rPr>
          <w:b/>
        </w:rPr>
      </w:pPr>
      <w:r w:rsidRPr="00E66E61">
        <w:rPr>
          <w:b/>
        </w:rPr>
        <w:t>Τρόπος εκτέλεσης της προμήθειας</w:t>
      </w:r>
    </w:p>
    <w:p w:rsidR="00CC371D" w:rsidRPr="00E66E61" w:rsidRDefault="00CC371D" w:rsidP="00E66E61">
      <w:pPr>
        <w:ind w:left="360"/>
        <w:jc w:val="both"/>
      </w:pPr>
      <w:r w:rsidRPr="00E66E61">
        <w:t xml:space="preserve">Η εκτέλεση της προμήθειας αυτής θα πραγματοποιηθεί με πρόχειρο διαγωνισμό με κριτήριο κατακύρωσης την </w:t>
      </w:r>
      <w:proofErr w:type="spellStart"/>
      <w:r w:rsidRPr="00E66E61">
        <w:t>συμφερότερη</w:t>
      </w:r>
      <w:proofErr w:type="spellEnd"/>
      <w:r w:rsidRPr="00E66E61">
        <w:t xml:space="preserve"> προσφορά σύμφωνα με τις διατάξεις του ΕΚΠΟΤΑ σύμφωνα με τις διατάξεις του άρθρου 209 παρ.1 του Ν. 3463/06 του άρθρου 4 &amp; 23 παράγραφος 4 &amp; 2 αντίστοιχα του Ε.Κ.Π.Ο.Τ.Α. </w:t>
      </w:r>
    </w:p>
    <w:p w:rsidR="00CC371D" w:rsidRPr="00482D47" w:rsidRDefault="00CC371D" w:rsidP="00CC371D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</w:p>
    <w:p w:rsidR="00CC371D" w:rsidRPr="00482D47" w:rsidRDefault="00CC371D" w:rsidP="00CC371D">
      <w:pPr>
        <w:tabs>
          <w:tab w:val="left" w:pos="284"/>
        </w:tabs>
        <w:autoSpaceDE w:val="0"/>
        <w:jc w:val="center"/>
        <w:outlineLvl w:val="0"/>
        <w:rPr>
          <w:rFonts w:ascii="Verdana" w:hAnsi="Verdana"/>
          <w:sz w:val="20"/>
          <w:szCs w:val="20"/>
        </w:rPr>
      </w:pPr>
      <w:r w:rsidRPr="00482D47">
        <w:rPr>
          <w:rFonts w:ascii="Verdana" w:hAnsi="Verdana"/>
          <w:b/>
          <w:sz w:val="20"/>
          <w:szCs w:val="20"/>
          <w:u w:val="single"/>
        </w:rPr>
        <w:t>Άρθρο 4</w:t>
      </w:r>
    </w:p>
    <w:p w:rsidR="00CC371D" w:rsidRPr="00482D47" w:rsidRDefault="00CC371D" w:rsidP="00CC371D">
      <w:pPr>
        <w:pStyle w:val="1"/>
        <w:rPr>
          <w:rFonts w:ascii="Verdana" w:hAnsi="Verdana"/>
          <w:sz w:val="20"/>
          <w:u w:val="none"/>
        </w:rPr>
      </w:pPr>
      <w:r w:rsidRPr="00482D47">
        <w:rPr>
          <w:rFonts w:ascii="Verdana" w:hAnsi="Verdana"/>
          <w:sz w:val="20"/>
          <w:u w:val="none"/>
        </w:rPr>
        <w:t>Συμβατικά στοιχεία κατά σειρά ισχύος</w:t>
      </w:r>
    </w:p>
    <w:p w:rsidR="00CC371D" w:rsidRPr="00E66E61" w:rsidRDefault="00CC371D" w:rsidP="00CC371D">
      <w:pPr>
        <w:tabs>
          <w:tab w:val="left" w:pos="284"/>
        </w:tabs>
        <w:jc w:val="both"/>
      </w:pPr>
      <w:r w:rsidRPr="00E66E61">
        <w:t>α) Διακήρυξη</w:t>
      </w:r>
    </w:p>
    <w:p w:rsidR="00CC371D" w:rsidRPr="00E66E61" w:rsidRDefault="00CC371D" w:rsidP="00CC371D">
      <w:pPr>
        <w:tabs>
          <w:tab w:val="left" w:pos="284"/>
        </w:tabs>
        <w:jc w:val="both"/>
      </w:pPr>
      <w:r w:rsidRPr="00E66E61">
        <w:t>β) Συγγραφή υποχρεώσεων</w:t>
      </w:r>
    </w:p>
    <w:p w:rsidR="00CC371D" w:rsidRPr="00E66E61" w:rsidRDefault="00CC371D" w:rsidP="00CC371D">
      <w:pPr>
        <w:tabs>
          <w:tab w:val="left" w:pos="284"/>
        </w:tabs>
        <w:jc w:val="both"/>
      </w:pPr>
      <w:r w:rsidRPr="00E66E61">
        <w:t>γ) Ενδεικτικός προϋπολογισμός</w:t>
      </w:r>
    </w:p>
    <w:p w:rsidR="00CC371D" w:rsidRPr="00482D47" w:rsidRDefault="00CC371D" w:rsidP="00CC371D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E66E61">
        <w:t>δ) Τεχνικές προδιαγραφές</w:t>
      </w:r>
    </w:p>
    <w:p w:rsidR="00CC371D" w:rsidRPr="00482D47" w:rsidRDefault="00CC371D" w:rsidP="00CC371D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</w:p>
    <w:p w:rsidR="00CC371D" w:rsidRPr="00482D47" w:rsidRDefault="00CC371D" w:rsidP="00CC371D">
      <w:pPr>
        <w:tabs>
          <w:tab w:val="left" w:pos="284"/>
        </w:tabs>
        <w:autoSpaceDE w:val="0"/>
        <w:jc w:val="center"/>
        <w:outlineLvl w:val="0"/>
        <w:rPr>
          <w:rFonts w:ascii="Verdana" w:hAnsi="Verdana"/>
          <w:sz w:val="20"/>
          <w:szCs w:val="20"/>
        </w:rPr>
      </w:pPr>
      <w:r w:rsidRPr="00482D47">
        <w:rPr>
          <w:rFonts w:ascii="Verdana" w:hAnsi="Verdana"/>
          <w:b/>
          <w:sz w:val="20"/>
          <w:szCs w:val="20"/>
          <w:u w:val="single"/>
        </w:rPr>
        <w:t>Άρθρο 5</w:t>
      </w:r>
    </w:p>
    <w:p w:rsidR="00CC371D" w:rsidRPr="00482D47" w:rsidRDefault="00CC371D" w:rsidP="00CC371D">
      <w:pPr>
        <w:tabs>
          <w:tab w:val="left" w:pos="284"/>
        </w:tabs>
        <w:jc w:val="center"/>
        <w:outlineLvl w:val="0"/>
        <w:rPr>
          <w:rFonts w:ascii="Verdana" w:hAnsi="Verdana"/>
          <w:b/>
          <w:sz w:val="20"/>
          <w:szCs w:val="20"/>
        </w:rPr>
      </w:pPr>
      <w:r w:rsidRPr="00482D47">
        <w:rPr>
          <w:rFonts w:ascii="Verdana" w:hAnsi="Verdana"/>
          <w:b/>
          <w:sz w:val="20"/>
          <w:szCs w:val="20"/>
        </w:rPr>
        <w:t>Δικαιολογητικά συμμετοχής</w:t>
      </w:r>
    </w:p>
    <w:p w:rsidR="00CC371D" w:rsidRPr="00E66E61" w:rsidRDefault="00CC371D" w:rsidP="00CC371D">
      <w:pPr>
        <w:tabs>
          <w:tab w:val="left" w:pos="284"/>
        </w:tabs>
        <w:jc w:val="both"/>
      </w:pPr>
      <w:r w:rsidRPr="00E66E61">
        <w:t>Η προσφορά των ενδιαφερομένων θα συνοδεύεται από:</w:t>
      </w:r>
    </w:p>
    <w:p w:rsidR="00CC371D" w:rsidRPr="00E66E61" w:rsidRDefault="00CC371D" w:rsidP="00CC371D">
      <w:pPr>
        <w:tabs>
          <w:tab w:val="left" w:pos="284"/>
        </w:tabs>
        <w:jc w:val="both"/>
      </w:pPr>
      <w:r w:rsidRPr="00E66E61">
        <w:t>1. Πιστοποιητικό του οικείου Επαγγελματικού Επιμελητηρίου με το οποίο θα πιστοποιείται σ’ αυτό η εγγραφή του και το επάγγελμά του.</w:t>
      </w:r>
    </w:p>
    <w:p w:rsidR="00CC371D" w:rsidRPr="00E66E61" w:rsidRDefault="00CC371D" w:rsidP="00CC371D">
      <w:pPr>
        <w:tabs>
          <w:tab w:val="left" w:pos="284"/>
        </w:tabs>
        <w:jc w:val="both"/>
      </w:pPr>
      <w:r w:rsidRPr="00E66E61">
        <w:t>2. Υπεύθυνη δήλωση του άρθρου 8 του Ν.1599/86 στην οποία θα δηλώνουν ότι:</w:t>
      </w:r>
    </w:p>
    <w:p w:rsidR="00CC371D" w:rsidRPr="00E66E61" w:rsidRDefault="00CC371D" w:rsidP="00CC371D">
      <w:pPr>
        <w:tabs>
          <w:tab w:val="left" w:pos="284"/>
        </w:tabs>
        <w:jc w:val="both"/>
      </w:pPr>
      <w:r w:rsidRPr="00E66E61">
        <w:lastRenderedPageBreak/>
        <w:tab/>
        <w:t>α) Τα προσφερόμενα είδη είναι σύμφωνα με τις  τεχνικές προδιαγραφές της μελέτης.</w:t>
      </w:r>
    </w:p>
    <w:p w:rsidR="00CC371D" w:rsidRPr="00E66E61" w:rsidRDefault="00CC371D" w:rsidP="00CC371D">
      <w:pPr>
        <w:tabs>
          <w:tab w:val="left" w:pos="284"/>
        </w:tabs>
        <w:jc w:val="both"/>
      </w:pPr>
      <w:r w:rsidRPr="00E66E61">
        <w:tab/>
        <w:t>β) Να αναφέρεται ο χρόνος παράδοσης των ειδών που θα πρέπει να είναι όσο προβλέπει η διακήρυξη.</w:t>
      </w:r>
    </w:p>
    <w:p w:rsidR="00CC371D" w:rsidRPr="00E66E61" w:rsidRDefault="00CC371D" w:rsidP="00CC371D">
      <w:pPr>
        <w:tabs>
          <w:tab w:val="left" w:pos="284"/>
        </w:tabs>
        <w:jc w:val="both"/>
      </w:pPr>
      <w:r w:rsidRPr="00E66E61">
        <w:tab/>
        <w:t>γ) Να αναφέρουν ότι έχουν λάβει γνώση των όρων της παρούσης Συγγραφής Υποχρεώσεων της προμήθειας και συμφωνούν με αυτούς.</w:t>
      </w:r>
    </w:p>
    <w:p w:rsidR="00CC371D" w:rsidRPr="00E66E61" w:rsidRDefault="00CC371D" w:rsidP="00CC371D">
      <w:pPr>
        <w:tabs>
          <w:tab w:val="left" w:pos="284"/>
        </w:tabs>
        <w:jc w:val="both"/>
      </w:pPr>
      <w:r w:rsidRPr="00E66E61">
        <w:t xml:space="preserve">3. Τεχνική περιγραφή, </w:t>
      </w:r>
      <w:proofErr w:type="spellStart"/>
      <w:r w:rsidRPr="00E66E61">
        <w:t>προσπέκτους</w:t>
      </w:r>
      <w:proofErr w:type="spellEnd"/>
      <w:r w:rsidRPr="00E66E61">
        <w:t xml:space="preserve">  και ότι είναι απαραίτητο στοιχείο για να βοηθήσει την αξιολόγηση των προσφορών.</w:t>
      </w:r>
    </w:p>
    <w:p w:rsidR="00CC371D" w:rsidRPr="00E66E61" w:rsidRDefault="00CC371D" w:rsidP="00CC371D">
      <w:pPr>
        <w:tabs>
          <w:tab w:val="left" w:pos="284"/>
        </w:tabs>
        <w:jc w:val="both"/>
      </w:pPr>
    </w:p>
    <w:p w:rsidR="00CC371D" w:rsidRPr="00482D47" w:rsidRDefault="00CC371D" w:rsidP="00CC371D">
      <w:pPr>
        <w:tabs>
          <w:tab w:val="left" w:pos="284"/>
        </w:tabs>
        <w:autoSpaceDE w:val="0"/>
        <w:jc w:val="center"/>
        <w:outlineLvl w:val="0"/>
        <w:rPr>
          <w:rFonts w:ascii="Verdana" w:hAnsi="Verdana"/>
          <w:sz w:val="20"/>
          <w:szCs w:val="20"/>
        </w:rPr>
      </w:pPr>
      <w:r w:rsidRPr="00482D47">
        <w:rPr>
          <w:rFonts w:ascii="Verdana" w:hAnsi="Verdana"/>
          <w:b/>
          <w:sz w:val="20"/>
          <w:szCs w:val="20"/>
          <w:u w:val="single"/>
        </w:rPr>
        <w:t>Άρθρο 6</w:t>
      </w:r>
    </w:p>
    <w:p w:rsidR="00CC371D" w:rsidRPr="00482D47" w:rsidRDefault="00CC371D" w:rsidP="00CC371D">
      <w:pPr>
        <w:tabs>
          <w:tab w:val="left" w:pos="284"/>
        </w:tabs>
        <w:jc w:val="center"/>
        <w:outlineLvl w:val="0"/>
        <w:rPr>
          <w:rFonts w:ascii="Verdana" w:hAnsi="Verdana"/>
          <w:b/>
          <w:sz w:val="20"/>
          <w:szCs w:val="20"/>
        </w:rPr>
      </w:pPr>
      <w:r w:rsidRPr="00482D47">
        <w:rPr>
          <w:rFonts w:ascii="Verdana" w:hAnsi="Verdana"/>
          <w:b/>
          <w:sz w:val="20"/>
          <w:szCs w:val="20"/>
        </w:rPr>
        <w:t>Αξιολόγηση προσφορών</w:t>
      </w:r>
    </w:p>
    <w:p w:rsidR="00CC371D" w:rsidRPr="00E66E61" w:rsidRDefault="00CC371D" w:rsidP="00CC371D">
      <w:pPr>
        <w:tabs>
          <w:tab w:val="left" w:pos="284"/>
        </w:tabs>
        <w:jc w:val="both"/>
      </w:pPr>
      <w:r w:rsidRPr="00E66E61">
        <w:t>Η αξιολόγηση των προσφορών (συμφωνία ή όχι της τεχνικής περιγραφής της προσφοράς με τις τεχνικές προδιαγραφές της μελέτης) και η εισήγηση για την ανάθεση της προμήθειας θα γίνει από τριμελή επιτροπή του άρθρου 46 του Ε.Κ.Π.Ο.Τ.Α.</w:t>
      </w:r>
    </w:p>
    <w:p w:rsidR="00CC371D" w:rsidRPr="00E66E61" w:rsidRDefault="00CC371D" w:rsidP="00CC371D">
      <w:pPr>
        <w:tabs>
          <w:tab w:val="left" w:pos="284"/>
        </w:tabs>
        <w:jc w:val="both"/>
      </w:pPr>
    </w:p>
    <w:p w:rsidR="00CC371D" w:rsidRDefault="00CC371D" w:rsidP="00CC371D">
      <w:pPr>
        <w:tabs>
          <w:tab w:val="left" w:pos="284"/>
        </w:tabs>
        <w:autoSpaceDE w:val="0"/>
        <w:jc w:val="center"/>
        <w:outlineLvl w:val="0"/>
        <w:rPr>
          <w:rFonts w:ascii="Verdana" w:hAnsi="Verdana"/>
          <w:sz w:val="20"/>
          <w:szCs w:val="20"/>
        </w:rPr>
      </w:pPr>
    </w:p>
    <w:p w:rsidR="00CC371D" w:rsidRDefault="00CC371D" w:rsidP="00CC371D">
      <w:pPr>
        <w:tabs>
          <w:tab w:val="left" w:pos="284"/>
        </w:tabs>
        <w:autoSpaceDE w:val="0"/>
        <w:jc w:val="center"/>
        <w:outlineLvl w:val="0"/>
        <w:rPr>
          <w:rFonts w:ascii="Verdana" w:hAnsi="Verdana"/>
          <w:sz w:val="20"/>
          <w:szCs w:val="20"/>
        </w:rPr>
      </w:pPr>
    </w:p>
    <w:p w:rsidR="00CC371D" w:rsidRPr="00482D47" w:rsidRDefault="00CC371D" w:rsidP="00CC371D">
      <w:pPr>
        <w:tabs>
          <w:tab w:val="left" w:pos="284"/>
        </w:tabs>
        <w:autoSpaceDE w:val="0"/>
        <w:jc w:val="center"/>
        <w:outlineLvl w:val="0"/>
        <w:rPr>
          <w:rFonts w:ascii="Verdana" w:hAnsi="Verdana"/>
          <w:sz w:val="20"/>
          <w:szCs w:val="20"/>
        </w:rPr>
      </w:pPr>
      <w:r w:rsidRPr="00482D47">
        <w:rPr>
          <w:rFonts w:ascii="Verdana" w:hAnsi="Verdana"/>
          <w:b/>
          <w:sz w:val="20"/>
          <w:szCs w:val="20"/>
          <w:u w:val="single"/>
        </w:rPr>
        <w:t>Άρθρο 7</w:t>
      </w:r>
    </w:p>
    <w:p w:rsidR="00CC371D" w:rsidRPr="00482D47" w:rsidRDefault="00CC371D" w:rsidP="00CC371D">
      <w:pPr>
        <w:tabs>
          <w:tab w:val="left" w:pos="284"/>
        </w:tabs>
        <w:jc w:val="center"/>
        <w:outlineLvl w:val="0"/>
        <w:rPr>
          <w:rFonts w:ascii="Verdana" w:hAnsi="Verdana"/>
          <w:b/>
          <w:sz w:val="20"/>
          <w:szCs w:val="20"/>
        </w:rPr>
      </w:pPr>
      <w:r w:rsidRPr="00482D47">
        <w:rPr>
          <w:rFonts w:ascii="Verdana" w:hAnsi="Verdana"/>
          <w:b/>
          <w:sz w:val="20"/>
          <w:szCs w:val="20"/>
        </w:rPr>
        <w:t>Τόπος παράδοσης</w:t>
      </w:r>
    </w:p>
    <w:p w:rsidR="00CC371D" w:rsidRPr="00E66E61" w:rsidRDefault="00CC371D" w:rsidP="00CC371D">
      <w:pPr>
        <w:tabs>
          <w:tab w:val="left" w:pos="284"/>
        </w:tabs>
        <w:jc w:val="both"/>
      </w:pPr>
      <w:r w:rsidRPr="00E66E61">
        <w:t>Η παράδοση των ειδών θα γίνει στο Δήμο σε χώρο που θα υποδειχθεί από την Υπηρεσία.</w:t>
      </w:r>
    </w:p>
    <w:p w:rsidR="00CC371D" w:rsidRPr="00E66E61" w:rsidRDefault="00CC371D" w:rsidP="00CC371D">
      <w:pPr>
        <w:tabs>
          <w:tab w:val="left" w:pos="284"/>
        </w:tabs>
        <w:jc w:val="both"/>
      </w:pPr>
    </w:p>
    <w:p w:rsidR="00CC371D" w:rsidRPr="00482D47" w:rsidRDefault="00CC371D" w:rsidP="00CC371D">
      <w:pPr>
        <w:tabs>
          <w:tab w:val="left" w:pos="284"/>
        </w:tabs>
        <w:autoSpaceDE w:val="0"/>
        <w:jc w:val="center"/>
        <w:outlineLvl w:val="0"/>
        <w:rPr>
          <w:rFonts w:ascii="Verdana" w:hAnsi="Verdana"/>
          <w:sz w:val="20"/>
          <w:szCs w:val="20"/>
        </w:rPr>
      </w:pPr>
      <w:r w:rsidRPr="00482D47">
        <w:rPr>
          <w:rFonts w:ascii="Verdana" w:hAnsi="Verdana"/>
          <w:b/>
          <w:sz w:val="20"/>
          <w:szCs w:val="20"/>
          <w:u w:val="single"/>
        </w:rPr>
        <w:t>Άρθρο 8</w:t>
      </w:r>
    </w:p>
    <w:p w:rsidR="00CC371D" w:rsidRPr="00482D47" w:rsidRDefault="00CC371D" w:rsidP="00CC371D">
      <w:pPr>
        <w:tabs>
          <w:tab w:val="left" w:pos="284"/>
        </w:tabs>
        <w:jc w:val="center"/>
        <w:outlineLvl w:val="0"/>
        <w:rPr>
          <w:rFonts w:ascii="Verdana" w:hAnsi="Verdana"/>
          <w:b/>
          <w:sz w:val="20"/>
          <w:szCs w:val="20"/>
        </w:rPr>
      </w:pPr>
      <w:r w:rsidRPr="00482D47">
        <w:rPr>
          <w:rFonts w:ascii="Verdana" w:hAnsi="Verdana"/>
          <w:b/>
          <w:sz w:val="20"/>
          <w:szCs w:val="20"/>
        </w:rPr>
        <w:t>Παραλαβή</w:t>
      </w:r>
    </w:p>
    <w:p w:rsidR="00CC371D" w:rsidRPr="00E66E61" w:rsidRDefault="00CC371D" w:rsidP="00CC371D">
      <w:pPr>
        <w:tabs>
          <w:tab w:val="left" w:pos="284"/>
        </w:tabs>
        <w:jc w:val="both"/>
      </w:pPr>
      <w:r w:rsidRPr="00E66E61">
        <w:t>Η παραλαβή των ειδών θα γίνει από τριμελή επιτροπή του άρθρου 28 του Ε.Κ.Π.Ο.Τ.Α.</w:t>
      </w:r>
    </w:p>
    <w:p w:rsidR="00CC371D" w:rsidRPr="00E66E61" w:rsidRDefault="00CC371D" w:rsidP="00CC371D">
      <w:pPr>
        <w:tabs>
          <w:tab w:val="left" w:pos="284"/>
        </w:tabs>
        <w:jc w:val="both"/>
      </w:pPr>
    </w:p>
    <w:p w:rsidR="00CC371D" w:rsidRPr="00482D47" w:rsidRDefault="00CC371D" w:rsidP="00CC371D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</w:p>
    <w:p w:rsidR="00CC371D" w:rsidRPr="00482D47" w:rsidRDefault="00CC371D" w:rsidP="00CC371D">
      <w:pPr>
        <w:tabs>
          <w:tab w:val="left" w:pos="284"/>
        </w:tabs>
        <w:autoSpaceDE w:val="0"/>
        <w:jc w:val="center"/>
        <w:outlineLvl w:val="0"/>
        <w:rPr>
          <w:rFonts w:ascii="Verdana" w:hAnsi="Verdana"/>
          <w:sz w:val="20"/>
          <w:szCs w:val="20"/>
        </w:rPr>
      </w:pPr>
      <w:r w:rsidRPr="00482D47">
        <w:rPr>
          <w:rFonts w:ascii="Verdana" w:hAnsi="Verdana"/>
          <w:b/>
          <w:sz w:val="20"/>
          <w:szCs w:val="20"/>
          <w:u w:val="single"/>
        </w:rPr>
        <w:t>Άρθρο 9</w:t>
      </w:r>
    </w:p>
    <w:p w:rsidR="00CC371D" w:rsidRPr="00482D47" w:rsidRDefault="00CC371D" w:rsidP="00CC371D">
      <w:pPr>
        <w:tabs>
          <w:tab w:val="left" w:pos="284"/>
        </w:tabs>
        <w:jc w:val="center"/>
        <w:outlineLvl w:val="0"/>
        <w:rPr>
          <w:rFonts w:ascii="Verdana" w:hAnsi="Verdana"/>
          <w:b/>
          <w:sz w:val="20"/>
          <w:szCs w:val="20"/>
        </w:rPr>
      </w:pPr>
      <w:r w:rsidRPr="00482D47">
        <w:rPr>
          <w:rFonts w:ascii="Verdana" w:hAnsi="Verdana"/>
          <w:b/>
          <w:sz w:val="20"/>
          <w:szCs w:val="20"/>
        </w:rPr>
        <w:t>Πλημμελής κατασκευή</w:t>
      </w:r>
    </w:p>
    <w:p w:rsidR="00CC371D" w:rsidRPr="00E66E61" w:rsidRDefault="00CC371D" w:rsidP="00CC371D">
      <w:pPr>
        <w:tabs>
          <w:tab w:val="left" w:pos="284"/>
        </w:tabs>
        <w:jc w:val="both"/>
      </w:pPr>
      <w:r w:rsidRPr="00E66E61">
        <w:t>Εάν κατά την παραλαβή και τη λειτουργία των μηχανημάτων και του λογισμικού δεν είναι σύμφωνα με τις προδιαγραφές τις μελέτης και την προσφορά του προμηθευτή τότε ο  ανάδοχος υποχρεούται να αντικαταστήσει ή αποκαταστήσει τα είδη σύμφωνα με τις διατάξεις που αναφέρονται στο άρθρο 33 &amp; 35 του Ε.Κ.Π.Ο.Τ.Α.</w:t>
      </w:r>
    </w:p>
    <w:p w:rsidR="00CC371D" w:rsidRPr="00482D47" w:rsidRDefault="00CC371D" w:rsidP="00CC371D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</w:p>
    <w:p w:rsidR="00CC371D" w:rsidRPr="00482D47" w:rsidRDefault="00CC371D" w:rsidP="00CC371D">
      <w:pPr>
        <w:tabs>
          <w:tab w:val="left" w:pos="284"/>
        </w:tabs>
        <w:jc w:val="both"/>
        <w:outlineLvl w:val="0"/>
        <w:rPr>
          <w:rFonts w:ascii="Verdana" w:hAnsi="Verdana"/>
          <w:b/>
          <w:sz w:val="20"/>
          <w:szCs w:val="20"/>
          <w:u w:val="single"/>
        </w:rPr>
      </w:pPr>
    </w:p>
    <w:p w:rsidR="00CC371D" w:rsidRPr="00482D47" w:rsidRDefault="00CC371D" w:rsidP="00CC371D">
      <w:pPr>
        <w:tabs>
          <w:tab w:val="left" w:pos="284"/>
        </w:tabs>
        <w:autoSpaceDE w:val="0"/>
        <w:jc w:val="center"/>
        <w:outlineLvl w:val="0"/>
        <w:rPr>
          <w:rFonts w:ascii="Verdana" w:hAnsi="Verdana"/>
          <w:sz w:val="20"/>
          <w:szCs w:val="20"/>
        </w:rPr>
      </w:pPr>
      <w:r w:rsidRPr="00482D47">
        <w:rPr>
          <w:rFonts w:ascii="Verdana" w:hAnsi="Verdana"/>
          <w:b/>
          <w:sz w:val="20"/>
          <w:szCs w:val="20"/>
          <w:u w:val="single"/>
        </w:rPr>
        <w:t xml:space="preserve">Άρθρο </w:t>
      </w:r>
      <w:r>
        <w:rPr>
          <w:rFonts w:ascii="Verdana" w:hAnsi="Verdana"/>
          <w:b/>
          <w:sz w:val="20"/>
          <w:szCs w:val="20"/>
          <w:u w:val="single"/>
        </w:rPr>
        <w:t>10</w:t>
      </w:r>
    </w:p>
    <w:p w:rsidR="00CC371D" w:rsidRPr="00482D47" w:rsidRDefault="00CC371D" w:rsidP="00CC371D">
      <w:pPr>
        <w:tabs>
          <w:tab w:val="left" w:pos="284"/>
        </w:tabs>
        <w:jc w:val="center"/>
        <w:outlineLvl w:val="0"/>
        <w:rPr>
          <w:rFonts w:ascii="Verdana" w:hAnsi="Verdana"/>
          <w:b/>
          <w:sz w:val="20"/>
          <w:szCs w:val="20"/>
        </w:rPr>
      </w:pPr>
      <w:r w:rsidRPr="00482D47">
        <w:rPr>
          <w:rFonts w:ascii="Verdana" w:hAnsi="Verdana"/>
          <w:b/>
          <w:sz w:val="20"/>
          <w:szCs w:val="20"/>
        </w:rPr>
        <w:t>Φόροι, Τέλη, Κρατήσεις</w:t>
      </w:r>
    </w:p>
    <w:p w:rsidR="00CC371D" w:rsidRPr="00E66E61" w:rsidRDefault="00CC371D" w:rsidP="00CC371D">
      <w:pPr>
        <w:tabs>
          <w:tab w:val="left" w:pos="284"/>
        </w:tabs>
        <w:jc w:val="both"/>
      </w:pPr>
      <w:r w:rsidRPr="00E66E61">
        <w:t>Ο ανάδοχος υπόκειται σε όλους τους, βάσει των κείμενων διατάξεων, φόρους, τέλη, κρατήσεις που θα ισχύουν κατά την ημέρα της διενέργειας της προμήθειας. Ο Φ.Π.Α. βαρύνει τον Δήμο.</w:t>
      </w:r>
      <w:bookmarkStart w:id="0" w:name="_GoBack"/>
      <w:bookmarkEnd w:id="0"/>
    </w:p>
    <w:sectPr w:rsidR="00CC371D" w:rsidRPr="00E66E61" w:rsidSect="008E3A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1D"/>
    <w:rsid w:val="00071A6E"/>
    <w:rsid w:val="005B1D76"/>
    <w:rsid w:val="008E3A44"/>
    <w:rsid w:val="00993D66"/>
    <w:rsid w:val="00CC371D"/>
    <w:rsid w:val="00E6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A5C29-5E70-4640-AE43-840FDD31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CC371D"/>
    <w:pPr>
      <w:keepNext/>
      <w:jc w:val="center"/>
      <w:outlineLvl w:val="0"/>
    </w:pPr>
    <w:rPr>
      <w:rFonts w:ascii="Arial" w:hAnsi="Arial"/>
      <w:b/>
      <w:sz w:val="28"/>
      <w:szCs w:val="20"/>
      <w:u w:val="single"/>
    </w:rPr>
  </w:style>
  <w:style w:type="paragraph" w:styleId="2">
    <w:name w:val="heading 2"/>
    <w:basedOn w:val="a"/>
    <w:next w:val="a"/>
    <w:link w:val="2Char"/>
    <w:qFormat/>
    <w:rsid w:val="00CC371D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Char"/>
    <w:qFormat/>
    <w:rsid w:val="00CC371D"/>
    <w:pPr>
      <w:keepNext/>
      <w:jc w:val="center"/>
      <w:outlineLvl w:val="2"/>
    </w:pPr>
    <w:rPr>
      <w:rFonts w:ascii="Arial" w:hAnsi="Arial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371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C371D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CC371D"/>
    <w:rPr>
      <w:rFonts w:ascii="Arial" w:eastAsia="Times New Roman" w:hAnsi="Arial" w:cs="Times New Roman"/>
      <w:b/>
      <w:sz w:val="28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CC371D"/>
    <w:rPr>
      <w:rFonts w:ascii="Arial" w:eastAsia="Times New Roman" w:hAnsi="Arial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C371D"/>
    <w:rPr>
      <w:rFonts w:ascii="Arial" w:eastAsia="Times New Roman" w:hAnsi="Arial" w:cs="Times New Roman"/>
      <w:sz w:val="24"/>
      <w:szCs w:val="20"/>
      <w:lang w:val="en-US" w:eastAsia="el-GR"/>
    </w:rPr>
  </w:style>
  <w:style w:type="paragraph" w:styleId="a4">
    <w:name w:val="Body Text"/>
    <w:basedOn w:val="a"/>
    <w:link w:val="Char0"/>
    <w:rsid w:val="00CC371D"/>
    <w:pPr>
      <w:jc w:val="both"/>
    </w:pPr>
    <w:rPr>
      <w:rFonts w:ascii="Arial" w:hAnsi="Arial"/>
      <w:sz w:val="22"/>
      <w:szCs w:val="20"/>
    </w:rPr>
  </w:style>
  <w:style w:type="character" w:customStyle="1" w:styleId="Char0">
    <w:name w:val="Σώμα κειμένου Char"/>
    <w:basedOn w:val="a0"/>
    <w:link w:val="a4"/>
    <w:rsid w:val="00CC371D"/>
    <w:rPr>
      <w:rFonts w:ascii="Arial" w:eastAsia="Times New Roman" w:hAnsi="Arial" w:cs="Times New Roman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User</cp:lastModifiedBy>
  <cp:revision>3</cp:revision>
  <cp:lastPrinted>2013-10-10T05:45:00Z</cp:lastPrinted>
  <dcterms:created xsi:type="dcterms:W3CDTF">2014-11-24T07:24:00Z</dcterms:created>
  <dcterms:modified xsi:type="dcterms:W3CDTF">2014-11-24T07:29:00Z</dcterms:modified>
</cp:coreProperties>
</file>